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A7C6" w14:textId="5C6C3D3F" w:rsidR="009C3CE2" w:rsidRPr="00887E2D" w:rsidRDefault="000A160B" w:rsidP="00887E2D">
      <w:pPr>
        <w:pStyle w:val="Title"/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283CCC4E" wp14:editId="045119B9">
            <wp:extent cx="1797050" cy="961883"/>
            <wp:effectExtent l="0" t="0" r="0" b="0"/>
            <wp:docPr id="2" name="Picture 2" descr="A blue and green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green logo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1693" cy="96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 w:rsidRPr="00887E2D">
        <w:rPr>
          <w:sz w:val="48"/>
          <w:szCs w:val="48"/>
        </w:rPr>
        <w:t>Team Practice Emergency Action Plan</w:t>
      </w:r>
    </w:p>
    <w:p w14:paraId="74391F15" w14:textId="5E8AB562" w:rsidR="009C3CE2" w:rsidRDefault="00000000">
      <w:r>
        <w:t xml:space="preserve">A central purpose of this is to help teams </w:t>
      </w:r>
      <w:r w:rsidR="00887E2D">
        <w:t xml:space="preserve">plan ahead and </w:t>
      </w:r>
      <w:r w:rsidR="000A160B">
        <w:t>manage</w:t>
      </w:r>
      <w:r w:rsidR="006D5537">
        <w:t xml:space="preserve"> potential</w:t>
      </w:r>
      <w:r w:rsidR="000A160B">
        <w:t xml:space="preserve"> risks</w:t>
      </w:r>
      <w:r w:rsidR="00887E2D">
        <w:t>.</w:t>
      </w:r>
    </w:p>
    <w:p w14:paraId="00FC57F4" w14:textId="77777777" w:rsidR="00887E2D" w:rsidRDefault="00887E2D"/>
    <w:tbl>
      <w:tblPr>
        <w:tblStyle w:val="a"/>
        <w:tblW w:w="108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5"/>
        <w:gridCol w:w="6555"/>
      </w:tblGrid>
      <w:tr w:rsidR="009C3CE2" w14:paraId="390AAB3B" w14:textId="77777777" w:rsidTr="006D5537">
        <w:trPr>
          <w:trHeight w:val="571"/>
        </w:trPr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4E6A65C2" w14:textId="77777777" w:rsidR="009C3C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/ Park Name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62CEAA80" w14:textId="77777777" w:rsidR="009C3CE2" w:rsidRDefault="00000000">
            <w:r>
              <w:t>Theodore Wirth Regional Park and the Loppet Foundation</w:t>
            </w:r>
          </w:p>
          <w:p w14:paraId="2D6FE756" w14:textId="77777777" w:rsidR="009C3CE2" w:rsidRDefault="00000000">
            <w:r>
              <w:t>1221 Theodore Wirth Pkwy, Minneapolis, MN 55422</w:t>
            </w:r>
          </w:p>
        </w:tc>
      </w:tr>
      <w:tr w:rsidR="006D5537" w14:paraId="6C60CDA8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64E014F6" w14:textId="1699316D" w:rsidR="006D5537" w:rsidRPr="006D5537" w:rsidRDefault="006D5537" w:rsidP="006D5537">
            <w:pPr>
              <w:numPr>
                <w:ilvl w:val="0"/>
                <w:numId w:val="1"/>
              </w:numPr>
              <w:ind w:left="412"/>
            </w:pPr>
            <w:r w:rsidRPr="006D5537">
              <w:t>In the event of a serious injury, always call 911 first.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5375286D" w14:textId="77777777" w:rsidR="006D5537" w:rsidRPr="006D5537" w:rsidRDefault="006D5537" w:rsidP="006D5537">
            <w:pPr>
              <w:numPr>
                <w:ilvl w:val="0"/>
                <w:numId w:val="1"/>
              </w:numPr>
              <w:ind w:left="412"/>
            </w:pPr>
            <w:r w:rsidRPr="006D5537">
              <w:t>Check the weather forecast before every practice.</w:t>
            </w:r>
          </w:p>
          <w:p w14:paraId="0390FDAF" w14:textId="77777777" w:rsidR="006D5537" w:rsidRDefault="006D5537" w:rsidP="006D5537"/>
        </w:tc>
      </w:tr>
      <w:tr w:rsidR="006D5537" w14:paraId="56871487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6957B9DE" w14:textId="2222C939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Coaches [name &amp; cell #]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0C7AA1D4" w14:textId="77777777" w:rsidR="006D5537" w:rsidRDefault="006D5537" w:rsidP="006D5537">
            <w:r>
              <w:t>Head Coach: Mike Hartmann (612) 308-8665</w:t>
            </w:r>
          </w:p>
          <w:p w14:paraId="579F0287" w14:textId="77777777" w:rsidR="006D5537" w:rsidRDefault="006D5537" w:rsidP="006D5537">
            <w:r>
              <w:t>Performance: Jeff Jackson (715) 492-0738</w:t>
            </w:r>
          </w:p>
          <w:p w14:paraId="0A30DDF2" w14:textId="77777777" w:rsidR="006D5537" w:rsidRDefault="006D5537" w:rsidP="006D5537">
            <w:r>
              <w:t>HS-Adv: Bob Vose (612) 481-3210 Erik Hinkie (612) 860-2606</w:t>
            </w:r>
          </w:p>
          <w:p w14:paraId="658265C5" w14:textId="0FBF4BC8" w:rsidR="006D5537" w:rsidRDefault="006D5537" w:rsidP="006D5537">
            <w:r>
              <w:t>MS: Emily Hoppe (952) 239-5097</w:t>
            </w:r>
          </w:p>
        </w:tc>
      </w:tr>
      <w:tr w:rsidR="006D5537" w14:paraId="451DC503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172B5058" w14:textId="5DF2CEC5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Closest Hospital(s) and anticipated time to each from least-accessible location 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7C5FFC6C" w14:textId="77777777" w:rsidR="006D5537" w:rsidRDefault="006D5537" w:rsidP="006D5537">
            <w:r>
              <w:t>North Memorial Health Hospital</w:t>
            </w:r>
          </w:p>
          <w:p w14:paraId="09C0D0FA" w14:textId="0963BB5E" w:rsidR="006D5537" w:rsidRDefault="006D5537" w:rsidP="006D5537">
            <w:r>
              <w:t>10 minutes. 3300 Oakdale Ave N. Robbinsdale.</w:t>
            </w:r>
          </w:p>
        </w:tc>
      </w:tr>
      <w:tr w:rsidR="006D5537" w14:paraId="5D920C14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221BD4CA" w14:textId="70D3BDA9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Trails to be avoided by some or all ride groups (note concerns)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20BF14EA" w14:textId="11222E40" w:rsidR="006D5537" w:rsidRDefault="006D5537" w:rsidP="006D5537">
            <w:r>
              <w:t>Trail 36 “Tube” section (jump line) and the larger 2 drops in skills area should be avoided by all riders.  Brownie expert lines should be avoided by beginner and intermediate riders. Longer expert lines should be avoided by all riders.</w:t>
            </w:r>
          </w:p>
        </w:tc>
      </w:tr>
      <w:tr w:rsidR="006D5537" w14:paraId="719F81A4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46E64883" w14:textId="440985BB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Emergency Responder Contact Info [park police, park ranger, town police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2D2B4FC2" w14:textId="3A3D7148" w:rsidR="006D5537" w:rsidRDefault="006D5537" w:rsidP="006D5537">
            <w:r>
              <w:t>911</w:t>
            </w:r>
          </w:p>
        </w:tc>
      </w:tr>
      <w:tr w:rsidR="006D5537" w14:paraId="447F4FA1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0F3D6B50" w14:textId="578F7BDF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Access Points for Emergency Access or Transport [describe and include on map]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424AA3EB" w14:textId="4E95C0D2" w:rsidR="006D5537" w:rsidRDefault="006D5537" w:rsidP="006D5537">
            <w:r>
              <w:t>The winter cross country trails overlap the mountain bike trails in several areas.  These make for excellent emergency access and exit points.</w:t>
            </w:r>
          </w:p>
        </w:tc>
      </w:tr>
      <w:tr w:rsidR="006D5537" w14:paraId="043F4651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631EA47C" w14:textId="0FF635D0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Refill and Shelter locations.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7018D8BA" w14:textId="5421A178" w:rsidR="006D5537" w:rsidRDefault="006D5537" w:rsidP="006D5537">
            <w:r>
              <w:t>Trailhead – Area 36 trail</w:t>
            </w:r>
          </w:p>
        </w:tc>
      </w:tr>
      <w:tr w:rsidR="006D5537" w14:paraId="64467701" w14:textId="77777777">
        <w:trPr>
          <w:trHeight w:val="740"/>
        </w:trPr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0A7956E3" w14:textId="0C9A6253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Park-specific Info i.e. areas without cell or mobile data coverage (lightning warnings, etc.)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6C07048D" w14:textId="6D261329" w:rsidR="006D5537" w:rsidRDefault="006D5537" w:rsidP="006D5537">
            <w:r>
              <w:t>Trail system made up of several</w:t>
            </w:r>
            <w:r w:rsidR="00887E2D">
              <w:t xml:space="preserve"> (8) short trail sections all on the West side of Theodore Wirth Parkway.  Make sure all coaches are familiar with the trail network and section names.</w:t>
            </w:r>
          </w:p>
        </w:tc>
      </w:tr>
      <w:tr w:rsidR="006D5537" w14:paraId="6861864B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7E503CD9" w14:textId="12ABB7BF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Maximum time to evacuate the trail due to weather. 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673B48B7" w14:textId="16EDBF0F" w:rsidR="006D5537" w:rsidRDefault="006D5537" w:rsidP="006D5537">
            <w:r>
              <w:t>10 minutes max to exit woods.  20 minutes max to return to meeting location or shelter.</w:t>
            </w:r>
          </w:p>
        </w:tc>
      </w:tr>
      <w:tr w:rsidR="006D5537" w14:paraId="633EB416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0069E815" w14:textId="30466A9D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Shelters available onsite (specify if appropriate for lightning) 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79F91244" w14:textId="568F844A" w:rsidR="006D5537" w:rsidRDefault="006D5537" w:rsidP="006D5537">
            <w:r>
              <w:t>Trailhead</w:t>
            </w:r>
          </w:p>
        </w:tc>
      </w:tr>
    </w:tbl>
    <w:p w14:paraId="74FFF3BB" w14:textId="77777777" w:rsidR="009C3CE2" w:rsidRDefault="009C3CE2">
      <w:bookmarkStart w:id="0" w:name="_7xc0dsmfuyio" w:colFirst="0" w:colLast="0"/>
      <w:bookmarkEnd w:id="0"/>
    </w:p>
    <w:sectPr w:rsidR="009C3CE2">
      <w:footerReference w:type="default" r:id="rId8"/>
      <w:pgSz w:w="12240" w:h="15840"/>
      <w:pgMar w:top="720" w:right="720" w:bottom="720" w:left="72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1B44" w14:textId="77777777" w:rsidR="008F6BD0" w:rsidRDefault="008F6BD0">
      <w:r>
        <w:separator/>
      </w:r>
    </w:p>
  </w:endnote>
  <w:endnote w:type="continuationSeparator" w:id="0">
    <w:p w14:paraId="22C3D98C" w14:textId="77777777" w:rsidR="008F6BD0" w:rsidRDefault="008F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9EB7" w14:textId="77777777" w:rsidR="009C3CE2" w:rsidRDefault="009C3CE2">
    <w:pPr>
      <w:tabs>
        <w:tab w:val="center" w:pos="4680"/>
        <w:tab w:val="right" w:pos="9360"/>
      </w:tabs>
      <w:jc w:val="right"/>
      <w:rPr>
        <w:sz w:val="20"/>
        <w:szCs w:val="20"/>
      </w:rPr>
    </w:pPr>
  </w:p>
  <w:p w14:paraId="66C42EBD" w14:textId="2EA11318" w:rsidR="009C3CE2" w:rsidRDefault="009C3CE2">
    <w:pPr>
      <w:shd w:val="clear" w:color="auto" w:fill="FFFFFF"/>
      <w:tabs>
        <w:tab w:val="center" w:pos="4680"/>
        <w:tab w:val="right" w:pos="9360"/>
      </w:tabs>
      <w:spacing w:line="331" w:lineRule="auto"/>
      <w:jc w:val="right"/>
      <w:rPr>
        <w:rFonts w:ascii="Times New Roman" w:eastAsia="Times New Roman" w:hAnsi="Times New Roman" w:cs="Times New Roman"/>
        <w:color w:val="9C9C9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86AD2" w14:textId="77777777" w:rsidR="008F6BD0" w:rsidRDefault="008F6BD0">
      <w:r>
        <w:separator/>
      </w:r>
    </w:p>
  </w:footnote>
  <w:footnote w:type="continuationSeparator" w:id="0">
    <w:p w14:paraId="5ABCCFF0" w14:textId="77777777" w:rsidR="008F6BD0" w:rsidRDefault="008F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21A5"/>
    <w:multiLevelType w:val="multilevel"/>
    <w:tmpl w:val="F4DC5CB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5316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CE2"/>
    <w:rsid w:val="000A160B"/>
    <w:rsid w:val="006D5537"/>
    <w:rsid w:val="00887E2D"/>
    <w:rsid w:val="008F6BD0"/>
    <w:rsid w:val="009C3CE2"/>
    <w:rsid w:val="00D20AD5"/>
    <w:rsid w:val="00D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A9D5"/>
  <w15:docId w15:val="{E309371C-71BC-48C8-A3B8-F0ECDE28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87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E2D"/>
  </w:style>
  <w:style w:type="paragraph" w:styleId="Footer">
    <w:name w:val="footer"/>
    <w:basedOn w:val="Normal"/>
    <w:link w:val="FooterChar"/>
    <w:uiPriority w:val="99"/>
    <w:unhideWhenUsed/>
    <w:rsid w:val="00887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Hartmann, Mike</dc:creator>
  <cp:lastModifiedBy>Hartmann, Mike</cp:lastModifiedBy>
  <cp:revision>3</cp:revision>
  <dcterms:created xsi:type="dcterms:W3CDTF">2023-05-05T13:50:00Z</dcterms:created>
  <dcterms:modified xsi:type="dcterms:W3CDTF">2023-05-12T03:29:00Z</dcterms:modified>
</cp:coreProperties>
</file>